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60"/>
      </w:pPr>
      <w:r>
        <w:rPr>
          <w:rFonts w:ascii="Calibri" w:cs="Calibri" w:eastAsia="Calibri" w:hAnsi="Calibri"/>
          <w:b/>
          <w:bCs/>
          <w:color w:val="E24A0F"/>
          <w:sz w:val="40"/>
          <w:szCs w:val="40"/>
        </w:rPr>
        <w:t xml:space="preserve">Modello di Valutazione d’impatto sulla protezione dei dati (DPIA)</w:t>
      </w:r>
    </w:p>
    <w:p>
      <w:pPr>
        <w:spacing w:after="60"/>
      </w:pPr>
      <w:r>
        <w:rPr>
          <w:rFonts w:ascii="Calibri" w:cs="Calibri" w:eastAsia="Calibri" w:hAnsi="Calibri"/>
          <w:color w:val="6B6A64"/>
          <w:sz w:val="20"/>
          <w:szCs w:val="20"/>
        </w:rPr>
        <w:t xml:space="preserve">Data Protection Impact Assessment — art. 35 Regolamento (UE) 2016/679 (GDPR)</w:t>
      </w:r>
    </w:p>
    <w:p>
      <w:pPr>
        <w:pBdr>
          <w:top w:val="single" w:color="D9D7CF" w:sz="2" w:space="8"/>
          <w:bottom w:val="single" w:color="D9D7CF" w:sz="2" w:space="8"/>
          <w:left w:val="single" w:color="E24A0F" w:sz="18" w:space="10"/>
          <w:right w:val="single" w:color="D9D7CF" w:sz="2" w:space="8"/>
        </w:pBdr>
        <w:shd w:fill="F5F4F0" w:color="auto" w:val="clear"/>
        <w:spacing w:after="160" w:before="60" w:line="264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Modello orientativo a scopo informativo, non costituisce consulenza legale. Va adattato al caso concreto e integrato in base al trattamento/sistema esaminato. Il documento si compila e si conserva internamente; non va inviato preventivamente ad alcun ente, salvo gli obblighi di legge indicati. Fonte struttura: art. 35 GDPR (Reg. UE 2016/679) e art. 27 AI Act (Reg. UE 2024/1689). A cura di aiactnavigator.it</w:t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/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Dati identificativi del documento</w:t>
      </w:r>
    </w:p>
    <w:tbl>
      <w:tblPr>
        <w:tblW w:type="dxa" w:w="9360"/>
        <w:tblBorders>
          <w:top w:val="single" w:color="D9D7CF" w:sz="4"/>
          <w:left w:val="single" w:color="D9D7CF" w:sz="4"/>
          <w:bottom w:val="single" w:color="D9D7CF" w:sz="4"/>
          <w:right w:val="single" w:color="D9D7CF" w:sz="4"/>
          <w:insideH w:val="single" w:color="D9D7CF" w:sz="4"/>
          <w:insideV w:val="single" w:color="D9D7CF" w:sz="4"/>
        </w:tblBorders>
      </w:tblPr>
      <w:tblGrid>
        <w:gridCol w:w="3300"/>
        <w:gridCol w:w="6060"/>
      </w:tblGrid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Titolare del trattamento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Contatti del Titolare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Responsabile della Protezione dei Dati (DPO/RPD)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Denominazione del trattamento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Responsabili del trattamento coinvolti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Redatto da (nome e ruolo)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Approvato da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Data di redazione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Versione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Data prossima revisione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1.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Descrizione sistematica del trattamento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Art. 35, par. 7, lett. a) — descrivere natura, ambito, contesto e finalità del trattamento.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1.1 Finalità del trattamento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1.2 Base giuridica (art. 6, e art. 9 se dati particolari)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1.3 Categorie di dati personali trattati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Indicare anche eventuali dati particolari (art. 9) o giudiziari (art. 10).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1.4 Categorie di interessati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1.5 Categorie di destinatari e trasferimenti verso Paesi terzi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Indicare fornitori/subfornitori e, per i trasferimenti extra-UE, le garanzie adottate (es. clausole contrattuali standard).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1.6 Periodo di conservazione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1.7 Sistemi, tecnologie e strumenti utilizzati (incl. eventuali sistemi di IA)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Se il trattamento impiega un sistema di IA, valutare anche la necessità di una FRIA (art. 27 AI Act), complementare alla DPIA.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2.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Valutazione della necessità e proporzionalità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Art. 35, par. 7, lett. b) — verificare che il trattamento sia necessario e proporzionato rispetto alle finalità.</w:t>
      </w:r>
    </w:p>
    <w:p>
      <w:pPr>
        <w:pStyle w:val="ListParagraph"/>
        <w:numPr>
          <w:ilvl w:val="0"/>
          <w:numId w:val="1"/>
        </w:numPr>
        <w:spacing w:after="60" w:line="268"/>
      </w:pPr>
      <w:r>
        <w:rPr>
          <w:rFonts w:ascii="Calibri" w:cs="Calibri" w:eastAsia="Calibri" w:hAnsi="Calibri"/>
          <w:b w:val="false"/>
          <w:bCs w:val="false"/>
          <w:color w:val="1A1A18"/>
          <w:sz w:val="20"/>
          <w:szCs w:val="20"/>
        </w:rPr>
        <w:t xml:space="preserve">Il trattamento è necessario al raggiungimento della finalità? Esistono alternative meno invasive?</w:t>
      </w:r>
    </w:p>
    <w:p>
      <w:pPr>
        <w:pStyle w:val="ListParagraph"/>
        <w:numPr>
          <w:ilvl w:val="0"/>
          <w:numId w:val="1"/>
        </w:numPr>
        <w:spacing w:after="60" w:line="268"/>
      </w:pPr>
      <w:r>
        <w:rPr>
          <w:rFonts w:ascii="Calibri" w:cs="Calibri" w:eastAsia="Calibri" w:hAnsi="Calibri"/>
          <w:b w:val="false"/>
          <w:bCs w:val="false"/>
          <w:color w:val="1A1A18"/>
          <w:sz w:val="20"/>
          <w:szCs w:val="20"/>
        </w:rPr>
        <w:t xml:space="preserve">Minimizzazione: i dati raccolti sono limitati a quanto necessario?</w:t>
      </w:r>
    </w:p>
    <w:p>
      <w:pPr>
        <w:pStyle w:val="ListParagraph"/>
        <w:numPr>
          <w:ilvl w:val="0"/>
          <w:numId w:val="1"/>
        </w:numPr>
        <w:spacing w:after="60" w:line="268"/>
      </w:pPr>
      <w:r>
        <w:rPr>
          <w:rFonts w:ascii="Calibri" w:cs="Calibri" w:eastAsia="Calibri" w:hAnsi="Calibri"/>
          <w:b w:val="false"/>
          <w:bCs w:val="false"/>
          <w:color w:val="1A1A18"/>
          <w:sz w:val="20"/>
          <w:szCs w:val="20"/>
        </w:rPr>
        <w:t xml:space="preserve">Esattezza e aggiornamento dei dati.</w:t>
      </w:r>
    </w:p>
    <w:p>
      <w:pPr>
        <w:pStyle w:val="ListParagraph"/>
        <w:numPr>
          <w:ilvl w:val="0"/>
          <w:numId w:val="1"/>
        </w:numPr>
        <w:spacing w:after="60" w:line="268"/>
      </w:pPr>
      <w:r>
        <w:rPr>
          <w:rFonts w:ascii="Calibri" w:cs="Calibri" w:eastAsia="Calibri" w:hAnsi="Calibri"/>
          <w:b w:val="false"/>
          <w:bCs w:val="false"/>
          <w:color w:val="1A1A18"/>
          <w:sz w:val="20"/>
          <w:szCs w:val="20"/>
        </w:rPr>
        <w:t xml:space="preserve">Limitazione della conservazione: i tempi sono definiti e giustificati?</w:t>
      </w:r>
    </w:p>
    <w:p>
      <w:pPr>
        <w:pStyle w:val="ListParagraph"/>
        <w:numPr>
          <w:ilvl w:val="0"/>
          <w:numId w:val="1"/>
        </w:numPr>
        <w:spacing w:after="60" w:line="268"/>
      </w:pPr>
      <w:r>
        <w:rPr>
          <w:rFonts w:ascii="Calibri" w:cs="Calibri" w:eastAsia="Calibri" w:hAnsi="Calibri"/>
          <w:b w:val="false"/>
          <w:bCs w:val="false"/>
          <w:color w:val="1A1A18"/>
          <w:sz w:val="20"/>
          <w:szCs w:val="20"/>
        </w:rPr>
        <w:t xml:space="preserve">Informativa e trasparenza verso gli interessati (artt. 13-14).</w:t>
      </w:r>
    </w:p>
    <w:p>
      <w:pPr>
        <w:pStyle w:val="ListParagraph"/>
        <w:numPr>
          <w:ilvl w:val="0"/>
          <w:numId w:val="1"/>
        </w:numPr>
        <w:spacing w:after="60" w:line="268"/>
      </w:pPr>
      <w:r>
        <w:rPr>
          <w:rFonts w:ascii="Calibri" w:cs="Calibri" w:eastAsia="Calibri" w:hAnsi="Calibri"/>
          <w:b w:val="false"/>
          <w:bCs w:val="false"/>
          <w:color w:val="1A1A18"/>
          <w:sz w:val="20"/>
          <w:szCs w:val="20"/>
        </w:rPr>
        <w:t xml:space="preserve">Esercizio dei diritti degli interessati (artt. 15-22): modalità previste.</w:t>
      </w:r>
    </w:p>
    <w:p>
      <w:pPr>
        <w:spacing w:after="120" w:line="276"/>
      </w:pPr>
      <w:r>
        <w:rPr>
          <w:rFonts w:ascii="Calibri" w:cs="Calibri" w:eastAsia="Calibri" w:hAnsi="Calibri"/>
          <w:color w:val="1A1A18"/>
          <w:sz w:val="20"/>
          <w:szCs w:val="20"/>
        </w:rPr>
        <w:t xml:space="preserve">Valutazione complessiva: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3.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Consultazione delle parti interessate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Ove opportuno, raccogliere il parere del DPO e degli interessati (art. 35, par. 2 e 9).</w:t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3.1 Parere del Responsabile della Protezione dei Dati (DPO/RPD)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3.2 Consultazione degli interessati o loro rappresentanti (se effettuata)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4.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Valutazione dei rischi per i diritti e le libertà degli interessati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Art. 35, par. 7, lett. c) — valutare origine, natura, probabilità e gravità dei rischi. Scala suggerita: Bassa / Media / Alta.</w:t>
      </w:r>
    </w:p>
    <w:tbl>
      <w:tblPr>
        <w:tblW w:type="dxa" w:w="9360"/>
        <w:tblBorders>
          <w:top w:val="single" w:color="D9D7CF" w:sz="4"/>
          <w:left w:val="single" w:color="D9D7CF" w:sz="4"/>
          <w:bottom w:val="single" w:color="D9D7CF" w:sz="4"/>
          <w:right w:val="single" w:color="D9D7CF" w:sz="4"/>
          <w:insideH w:val="single" w:color="D9D7CF" w:sz="4"/>
          <w:insideV w:val="single" w:color="D9D7CF" w:sz="4"/>
        </w:tblBorders>
      </w:tblPr>
      <w:tblGrid>
        <w:gridCol w:w="2600"/>
        <w:gridCol w:w="3200"/>
        <w:gridCol w:w="1180"/>
        <w:gridCol w:w="1180"/>
        <w:gridCol w:w="1200"/>
      </w:tblGrid>
      <w:tr>
        <w:trPr>
          <w:tblHeader/>
        </w:trPr>
        <w:tc>
          <w:tcPr>
            <w:tcW w:type="dxa" w:w="26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Evento a rischio</w:t>
            </w:r>
          </w:p>
        </w:tc>
        <w:tc>
          <w:tcPr>
            <w:tcW w:type="dxa" w:w="32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Possibili impatti sugli interessati</w:t>
            </w:r>
          </w:p>
        </w:tc>
        <w:tc>
          <w:tcPr>
            <w:tcW w:type="dxa" w:w="118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Probabilità</w:t>
            </w:r>
          </w:p>
        </w:tc>
        <w:tc>
          <w:tcPr>
            <w:tcW w:type="dxa" w:w="118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Gravità</w:t>
            </w:r>
          </w:p>
        </w:tc>
        <w:tc>
          <w:tcPr>
            <w:tcW w:type="dxa" w:w="12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Livello di rischio</w:t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18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</w:tbl>
    <w:p>
      <w:pPr>
        <w:spacing w:after="120" w:line="276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Esempi di eventi da considerare: accesso illegittimo ai dati, modifica indesiderata, perdita/indisponibilità dei dati, uso per finalità diverse, profilazione, discriminazione.</w:t>
      </w:r>
    </w:p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5.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Misure previste per affrontare i rischi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6B6A64"/>
          <w:sz w:val="18"/>
          <w:szCs w:val="18"/>
        </w:rPr>
        <w:t xml:space="preserve">Art. 35, par. 7, lett. d) — misure tecniche e organizzative, garanzie e misure di sicurezza (art. 32).</w:t>
      </w:r>
    </w:p>
    <w:tbl>
      <w:tblPr>
        <w:tblW w:type="dxa" w:w="9360"/>
        <w:tblBorders>
          <w:top w:val="single" w:color="D9D7CF" w:sz="4"/>
          <w:left w:val="single" w:color="D9D7CF" w:sz="4"/>
          <w:bottom w:val="single" w:color="D9D7CF" w:sz="4"/>
          <w:right w:val="single" w:color="D9D7CF" w:sz="4"/>
          <w:insideH w:val="single" w:color="D9D7CF" w:sz="4"/>
          <w:insideV w:val="single" w:color="D9D7CF" w:sz="4"/>
        </w:tblBorders>
      </w:tblPr>
      <w:tblGrid>
        <w:gridCol w:w="2200"/>
        <w:gridCol w:w="3760"/>
        <w:gridCol w:w="1600"/>
        <w:gridCol w:w="1800"/>
      </w:tblGrid>
      <w:tr>
        <w:trPr>
          <w:tblHeader/>
        </w:trPr>
        <w:tc>
          <w:tcPr>
            <w:tcW w:type="dxa" w:w="22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Rischio di riferimento</w:t>
            </w:r>
          </w:p>
        </w:tc>
        <w:tc>
          <w:tcPr>
            <w:tcW w:type="dxa" w:w="376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Misura tecnica/organizzativa prevista</w:t>
            </w:r>
          </w:p>
        </w:tc>
        <w:tc>
          <w:tcPr>
            <w:tcW w:type="dxa" w:w="16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Responsabile</w:t>
            </w:r>
          </w:p>
        </w:tc>
        <w:tc>
          <w:tcPr>
            <w:tcW w:type="dxa" w:w="18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Rischio residuo</w:t>
            </w:r>
          </w:p>
        </w:tc>
      </w:tr>
      <w:t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37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D9D7CF" w:sz="6" w:space="6"/>
        </w:pBdr>
        <w:spacing w:after="120" w:before="320"/>
      </w:pPr>
      <w:r>
        <w:rPr>
          <w:rFonts w:ascii="Calibri" w:cs="Calibri" w:eastAsia="Calibri" w:hAnsi="Calibri"/>
          <w:b/>
          <w:bCs/>
          <w:color w:val="E24A0F"/>
          <w:sz w:val="26"/>
          <w:szCs w:val="26"/>
        </w:rPr>
        <w:t xml:space="preserve">6.  </w:t>
      </w:r>
      <w:r>
        <w:rPr>
          <w:rFonts w:ascii="Calibri" w:cs="Calibri" w:eastAsia="Calibri" w:hAnsi="Calibri"/>
          <w:b/>
          <w:bCs/>
          <w:color w:val="1A1A18"/>
          <w:sz w:val="26"/>
          <w:szCs w:val="26"/>
        </w:rPr>
        <w:t xml:space="preserve">Esito e consultazione preventiva</w:t>
      </w:r>
    </w:p>
    <w:p>
      <w:pPr>
        <w:pStyle w:val="ListParagraph"/>
        <w:numPr>
          <w:ilvl w:val="0"/>
          <w:numId w:val="1"/>
        </w:numPr>
        <w:spacing w:after="60" w:line="268"/>
      </w:pPr>
      <w:r>
        <w:rPr>
          <w:rFonts w:ascii="Calibri" w:cs="Calibri" w:eastAsia="Calibri" w:hAnsi="Calibri"/>
          <w:b w:val="false"/>
          <w:bCs w:val="false"/>
          <w:color w:val="1A1A18"/>
          <w:sz w:val="20"/>
          <w:szCs w:val="20"/>
        </w:rPr>
        <w:t xml:space="preserve">Il rischio residuo è accettabile? (Sì / No)</w:t>
      </w:r>
    </w:p>
    <w:p>
      <w:pPr>
        <w:pStyle w:val="ListParagraph"/>
        <w:numPr>
          <w:ilvl w:val="0"/>
          <w:numId w:val="1"/>
        </w:numPr>
        <w:spacing w:after="60" w:line="268"/>
      </w:pPr>
      <w:r>
        <w:rPr>
          <w:rFonts w:ascii="Calibri" w:cs="Calibri" w:eastAsia="Calibri" w:hAnsi="Calibri"/>
          <w:b w:val="false"/>
          <w:bCs w:val="false"/>
          <w:color w:val="1A1A18"/>
          <w:sz w:val="20"/>
          <w:szCs w:val="20"/>
        </w:rPr>
        <w:t xml:space="preserve">In caso di rischio residuo elevato non mitigabile: consultazione preventiva del Garante (art. 36 GDPR).</w:t>
      </w:r>
    </w:p>
    <w:p>
      <w:pPr>
        <w:spacing w:after="120" w:line="276"/>
      </w:pPr>
      <w:r>
        <w:rPr>
          <w:rFonts w:ascii="Calibri" w:cs="Calibri" w:eastAsia="Calibri" w:hAnsi="Calibri"/>
          <w:color w:val="1A1A18"/>
          <w:sz w:val="20"/>
          <w:szCs w:val="20"/>
        </w:rPr>
        <w:t xml:space="preserve">Conclusioni e decisione:</w:t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dotted" w:color="D9D7CF" w:sz="4" w:space="4"/>
        </w:pBd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rFonts w:ascii="Calibri" w:cs="Calibri" w:eastAsia="Calibri" w:hAnsi="Calibri"/>
          <w:b/>
          <w:bCs/>
          <w:color w:val="1A1A18"/>
          <w:sz w:val="22"/>
          <w:szCs w:val="22"/>
        </w:rPr>
        <w:t xml:space="preserve">Approvazioni</w:t>
      </w:r>
    </w:p>
    <w:tbl>
      <w:tblPr>
        <w:tblW w:type="dxa" w:w="9360"/>
        <w:tblBorders>
          <w:top w:val="single" w:color="D9D7CF" w:sz="4"/>
          <w:left w:val="single" w:color="D9D7CF" w:sz="4"/>
          <w:bottom w:val="single" w:color="D9D7CF" w:sz="4"/>
          <w:right w:val="single" w:color="D9D7CF" w:sz="4"/>
          <w:insideH w:val="single" w:color="D9D7CF" w:sz="4"/>
          <w:insideV w:val="single" w:color="D9D7CF" w:sz="4"/>
        </w:tblBorders>
      </w:tblPr>
      <w:tblGrid>
        <w:gridCol w:w="3300"/>
        <w:gridCol w:w="6060"/>
      </w:tblGrid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Redatto da / data / firma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Parere DPO / data / firma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300"/>
            <w:shd w:fill="F5F4F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A1A18"/>
                <w:sz w:val="18"/>
                <w:szCs w:val="18"/>
              </w:rPr>
              <w:t xml:space="preserve">Approvato dal Titolare / data / firma</w:t>
            </w:r>
          </w:p>
        </w:tc>
        <w:tc>
          <w:tcPr>
            <w:tcW w:type="dxa" w:w="606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1A1A18"/>
                <w:sz w:val="18"/>
                <w:szCs w:val="18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7CF" w:sz="2" w:space="6"/>
      </w:pBdr>
      <w:jc w:val="center"/>
    </w:pPr>
    <w:r>
      <w:rPr>
        <w:rFonts w:ascii="Calibri" w:cs="Calibri" w:eastAsia="Calibri" w:hAnsi="Calibri"/>
        <w:color w:val="6B6A64"/>
        <w:sz w:val="15"/>
        <w:szCs w:val="15"/>
      </w:rPr>
      <w:t xml:space="preserve">Modello DPIA — art. 35 GDPR  ·  Pagina </w:t>
    </w:r>
    <w:r>
      <w:rPr>
        <w:rFonts w:ascii="Calibri" w:cs="Calibri" w:eastAsia="Calibri" w:hAnsi="Calibri"/>
        <w:color w:val="6B6A64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6A64"/>
        <w:sz w:val="15"/>
        <w:szCs w:val="15"/>
      </w:rPr>
      <w:t xml:space="preserve"> di </w:t>
    </w:r>
    <w:r>
      <w:rPr>
        <w:rFonts w:ascii="Calibri" w:cs="Calibri" w:eastAsia="Calibri" w:hAnsi="Calibri"/>
        <w:color w:val="6B6A64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 Act Navigator</dc:creator>
  <cp:lastModifiedBy>Un-named</cp:lastModifiedBy>
  <cp:revision>1</cp:revision>
  <dcterms:created xsi:type="dcterms:W3CDTF">2026-07-29T14:02:07.096Z</dcterms:created>
  <dcterms:modified xsi:type="dcterms:W3CDTF">2026-07-29T14:02:07.097Z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