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60"/>
      </w:pPr>
      <w:r>
        <w:rPr>
          <w:rFonts w:ascii="Calibri" w:cs="Calibri" w:eastAsia="Calibri" w:hAnsi="Calibri"/>
          <w:b/>
          <w:bCs/>
          <w:color w:val="E24A0F"/>
          <w:sz w:val="40"/>
          <w:szCs w:val="40"/>
        </w:rPr>
        <w:t xml:space="preserve">Modello di Valutazione d’impatto sui diritti fondamentali (FRIA)</w:t>
      </w:r>
    </w:p>
    <w:p>
      <w:pPr>
        <w:spacing w:after="60"/>
      </w:pPr>
      <w:r>
        <w:rPr>
          <w:rFonts w:ascii="Calibri" w:cs="Calibri" w:eastAsia="Calibri" w:hAnsi="Calibri"/>
          <w:color w:val="6B6A64"/>
          <w:sz w:val="20"/>
          <w:szCs w:val="20"/>
        </w:rPr>
        <w:t xml:space="preserve">Fundamental Rights Impact Assessment — art. 27 Regolamento (UE) 2024/1689 (AI Act)</w:t>
      </w:r>
    </w:p>
    <w:p>
      <w:pPr>
        <w:pBdr>
          <w:top w:val="single" w:color="D9D7CF" w:sz="2" w:space="8"/>
          <w:bottom w:val="single" w:color="D9D7CF" w:sz="2" w:space="8"/>
          <w:left w:val="single" w:color="E24A0F" w:sz="18" w:space="10"/>
          <w:right w:val="single" w:color="D9D7CF" w:sz="2" w:space="8"/>
        </w:pBdr>
        <w:shd w:fill="F5F4F0" w:color="auto" w:val="clear"/>
        <w:spacing w:after="160" w:before="60" w:line="264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Modello orientativo a scopo informativo, non costituisce consulenza legale. Va adattato al caso concreto e integrato in base al trattamento/sistema esaminato. Il documento si compila e si conserva internamente; non va inviato preventivamente ad alcun ente, salvo gli obblighi di legge indicati. Fonte struttura: art. 35 GDPR (Reg. UE 2016/679) e art. 27 AI Act (Reg. UE 2024/1689). A cura di aiactnavigator.it</w:t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/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Ambito e obbligo</w:t>
      </w:r>
    </w:p>
    <w:p>
      <w:pPr>
        <w:spacing w:after="120" w:line="276"/>
      </w:pPr>
      <w:r>
        <w:rPr>
          <w:rFonts w:ascii="Calibri" w:cs="Calibri" w:eastAsia="Calibri" w:hAnsi="Calibri"/>
          <w:color w:val="1A1A18"/>
          <w:sz w:val="19"/>
          <w:szCs w:val="19"/>
        </w:rPr>
        <w:t xml:space="preserve">La FRIA è richiesta ai deployer (utilizzatori) di determinati sistemi di IA ad alto rischio (art. 6 e Allegato III), tra cui: organismi di diritto pubblico ed enti privati che erogano servizi pubblici; sistemi per la valutazione dell’affidabilità creditizia (esclusa la rilevazione di frodi); sistemi per la valutazione del rischio e la tariffazione in ambito assicurativo vita e salute. Va svolta prima della prima messa in uso del sistema.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Rapporto con la DPIA: una DPIA (art. 35 GDPR) già svolta è complementare; gli elementi FRIA non già coperti dalla DPIA vanno comunque valutati.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Notifica: l’esito della FRIA va notificato all’autorità nazionale di vigilanza del mercato (art. 27, par. 3), anche mediante il modello di questionario predisposto dall’Ufficio europeo per l’IA.</w:t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/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Dati identificativi del documento</w:t>
      </w:r>
    </w:p>
    <w:tbl>
      <w:tblPr>
        <w:tblW w:type="dxa" w:w="9360"/>
        <w:tblBorders>
          <w:top w:val="single" w:color="D9D7CF" w:sz="4"/>
          <w:left w:val="single" w:color="D9D7CF" w:sz="4"/>
          <w:bottom w:val="single" w:color="D9D7CF" w:sz="4"/>
          <w:right w:val="single" w:color="D9D7CF" w:sz="4"/>
          <w:insideH w:val="single" w:color="D9D7CF" w:sz="4"/>
          <w:insideV w:val="single" w:color="D9D7CF" w:sz="4"/>
        </w:tblBorders>
      </w:tblPr>
      <w:tblGrid>
        <w:gridCol w:w="3300"/>
        <w:gridCol w:w="6060"/>
      </w:tblGrid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Deployer (utilizzatore del sistema)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Sistema di IA (denominazione e versione)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Provider/Fornitore del sistema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Finalità prevista (intended purpose)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Categoria ad alto rischio (Allegato III)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Riferimento DPIA collegata (se presente)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Redatto da (nome e ruolo)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Approvato da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Data di redazione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Versione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Data prossima revisione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1.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Descrizione dei processi in cui il sistema di IA è utilizzato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27, par. 1, lett. a) — descrivere i processi del deployer in cui il sistema ad alto rischio sarà usato, coerentemente con la finalità prevista.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2.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Periodo e frequenza d’uso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27, par. 1, lett. b) — arco temporale e frequenza di utilizzo del sistema.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3.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Categorie di persone e gruppi interessati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27, par. 1, lett. c) — categorie di persone fisiche e gruppi che possono essere interessati nel contesto specifico, con attenzione a soggetti vulnerabili.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4.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Rischi specifici per i diritti fondamentali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27, par. 1, lett. d) — rischi di danno per le categorie individuate, tenendo conto delle informazioni del provider (art. 13). Riferimento: Carta dei diritti fondamentali dell’UE. Scala suggerita: Bassa / Media / Alta.</w:t>
      </w:r>
    </w:p>
    <w:tbl>
      <w:tblPr>
        <w:tblW w:type="dxa" w:w="9360"/>
        <w:tblBorders>
          <w:top w:val="single" w:color="D9D7CF" w:sz="4"/>
          <w:left w:val="single" w:color="D9D7CF" w:sz="4"/>
          <w:bottom w:val="single" w:color="D9D7CF" w:sz="4"/>
          <w:right w:val="single" w:color="D9D7CF" w:sz="4"/>
          <w:insideH w:val="single" w:color="D9D7CF" w:sz="4"/>
          <w:insideV w:val="single" w:color="D9D7CF" w:sz="4"/>
        </w:tblBorders>
      </w:tblPr>
      <w:tblGrid>
        <w:gridCol w:w="2600"/>
        <w:gridCol w:w="3200"/>
        <w:gridCol w:w="1180"/>
        <w:gridCol w:w="1180"/>
        <w:gridCol w:w="1200"/>
      </w:tblGrid>
      <w:tr>
        <w:trPr>
          <w:tblHeader/>
        </w:trPr>
        <w:tc>
          <w:tcPr>
            <w:tcW w:type="dxa" w:w="26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Diritto fondamentale coinvolto</w:t>
            </w:r>
          </w:p>
        </w:tc>
        <w:tc>
          <w:tcPr>
            <w:tcW w:type="dxa" w:w="32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Descrizione del rischio di danno</w:t>
            </w:r>
          </w:p>
        </w:tc>
        <w:tc>
          <w:tcPr>
            <w:tcW w:type="dxa" w:w="118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Probabilità</w:t>
            </w:r>
          </w:p>
        </w:tc>
        <w:tc>
          <w:tcPr>
            <w:tcW w:type="dxa" w:w="118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Gravità</w:t>
            </w:r>
          </w:p>
        </w:tc>
        <w:tc>
          <w:tcPr>
            <w:tcW w:type="dxa" w:w="12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Livello di rischio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</w:tbl>
    <w:p>
      <w:pPr>
        <w:spacing w:after="120" w:line="276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Esempi di diritti da considerare: dignità umana; non discriminazione e parità; protezione dei dati personali e vita privata; libertà di espressione; diritto a un ricorso effettivo e a un giudice imparziale; diritti del lavoratore; diritti del minore.</w:t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5.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Misure di sorveglianza umana (human oversight)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27, par. 1, lett. e) — descrivere le misure di sorveglianza umana attuate, secondo le istruzioni per l’uso del provider.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6.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Misure in caso di materializzazione dei rischi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27, par. 1, lett. f) — misure da adottare se i rischi si concretizzano, incluse governance interna e meccanismi di reclamo.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6.1 Assetto di governance interna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6.2 Meccanismi di reclamo e canali per le persone interessate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7.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Rapporto con la DPIA e notifica all’autorità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7.1 Elementi già coperti da una DPIA (art. 35 GDPR)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7.2 Notifica all’autorità di vigilanza del mercato (art. 27, par. 3)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Indicare autorità, data della notifica ed esito.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/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Esito e approvazioni</w:t>
      </w:r>
    </w:p>
    <w:p>
      <w:pPr>
        <w:spacing w:after="120" w:line="276"/>
      </w:pPr>
      <w:r>
        <w:rPr>
          <w:rFonts w:ascii="Calibri" w:cs="Calibri" w:eastAsia="Calibri" w:hAnsi="Calibri"/>
          <w:color w:val="1A1A18"/>
          <w:sz w:val="20"/>
          <w:szCs w:val="20"/>
        </w:rPr>
        <w:t xml:space="preserve">Conclusioni e decisione sull’utilizzo del sistema: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dxa" w:w="9360"/>
        <w:tblBorders>
          <w:top w:val="single" w:color="D9D7CF" w:sz="4"/>
          <w:left w:val="single" w:color="D9D7CF" w:sz="4"/>
          <w:bottom w:val="single" w:color="D9D7CF" w:sz="4"/>
          <w:right w:val="single" w:color="D9D7CF" w:sz="4"/>
          <w:insideH w:val="single" w:color="D9D7CF" w:sz="4"/>
          <w:insideV w:val="single" w:color="D9D7CF" w:sz="4"/>
        </w:tblBorders>
      </w:tblPr>
      <w:tblGrid>
        <w:gridCol w:w="3300"/>
        <w:gridCol w:w="6060"/>
      </w:tblGrid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Redatto da / data / firma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Approvato da / data / firma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7CF" w:sz="2" w:space="6"/>
      </w:pBdr>
      <w:jc w:val="center"/>
    </w:pPr>
    <w:r>
      <w:rPr>
        <w:rFonts w:ascii="Calibri" w:cs="Calibri" w:eastAsia="Calibri" w:hAnsi="Calibri"/>
        <w:color w:val="6B6A64"/>
        <w:sz w:val="15"/>
        <w:szCs w:val="15"/>
      </w:rPr>
      <w:t xml:space="preserve">Modello FRIA — art. 27 AI Act  ·  Pagina </w:t>
    </w:r>
    <w:r>
      <w:rPr>
        <w:rFonts w:ascii="Calibri" w:cs="Calibri" w:eastAsia="Calibri" w:hAnsi="Calibri"/>
        <w:color w:val="6B6A64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6A64"/>
        <w:sz w:val="15"/>
        <w:szCs w:val="15"/>
      </w:rPr>
      <w:t xml:space="preserve"> di </w:t>
    </w:r>
    <w:r>
      <w:rPr>
        <w:rFonts w:ascii="Calibri" w:cs="Calibri" w:eastAsia="Calibri" w:hAnsi="Calibri"/>
        <w:color w:val="6B6A64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 Act Navigator</dc:creator>
  <cp:lastModifiedBy>Un-named</cp:lastModifiedBy>
  <cp:revision>1</cp:revision>
  <dcterms:created xsi:type="dcterms:W3CDTF">2026-07-29T14:02:07.138Z</dcterms:created>
  <dcterms:modified xsi:type="dcterms:W3CDTF">2026-07-29T14:02:07.138Z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